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SimHei" w:hAnsi="SimHei" w:eastAsia="SimHei"/>
          <w:b/>
          <w:sz w:val="36"/>
        </w:rPr>
        <w:t>阶段性交付监理报价单</w:t>
      </w:r>
    </w:p>
    <w:p>
      <w:pPr>
        <w:jc w:val="center"/>
      </w:pPr>
      <w:r>
        <w:rPr>
          <w:sz w:val="18"/>
        </w:rPr>
        <w:t>HongHub 项目护航 · 参考报价，最终以确认范围为准</w:t>
      </w:r>
    </w:p>
    <w:p>
      <w:r>
        <w:t>客户/项目：____________________________________________</w:t>
      </w:r>
    </w:p>
    <w:p>
      <w:r>
        <w:t>报价编号：GUARD-________    日期：________</w:t>
      </w:r>
    </w:p>
    <w:p>
      <w:r>
        <w:t>项目预算/周期：__________________    当前阶段：__________________</w:t>
      </w:r>
    </w:p>
    <w:p>
      <w:r>
        <w:rPr>
          <w:rFonts w:ascii="SimHei" w:hAnsi="SimHei" w:eastAsia="SimHei"/>
          <w:b/>
          <w:sz w:val="24"/>
        </w:rPr>
        <w:t>一、服务范围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c>
          <w:tcPr>
            <w:tcW w:type="dxa" w:w="3211"/>
          </w:tcPr>
          <w:p>
            <w:r>
              <w:t>阶段</w:t>
            </w:r>
          </w:p>
        </w:tc>
        <w:tc>
          <w:tcPr>
            <w:tcW w:type="dxa" w:w="3211"/>
          </w:tcPr>
          <w:p>
            <w:r>
              <w:t>内容</w:t>
            </w:r>
          </w:p>
        </w:tc>
        <w:tc>
          <w:tcPr>
            <w:tcW w:type="dxa" w:w="3211"/>
          </w:tcPr>
          <w:p>
            <w:r>
              <w:t>交付</w:t>
            </w:r>
          </w:p>
        </w:tc>
      </w:tr>
      <w:tr>
        <w:tc>
          <w:tcPr>
            <w:tcW w:type="dxa" w:w="3211"/>
          </w:tcPr>
          <w:p>
            <w:r>
              <w:t>进场前</w:t>
            </w:r>
          </w:p>
        </w:tc>
        <w:tc>
          <w:tcPr>
            <w:tcW w:type="dxa" w:w="3211"/>
          </w:tcPr>
          <w:p>
            <w:r>
              <w:t>把“达到上线要求”拆成可核对动作/数据/期限；明确修改轮次、付款节点、源码/数据归属</w:t>
            </w:r>
          </w:p>
        </w:tc>
        <w:tc>
          <w:tcPr>
            <w:tcW w:type="dxa" w:w="3211"/>
          </w:tcPr>
          <w:p>
            <w:r>
              <w:t>验收标准/里程碑清单</w:t>
            </w:r>
          </w:p>
        </w:tc>
      </w:tr>
      <w:tr>
        <w:tc>
          <w:tcPr>
            <w:tcW w:type="dxa" w:w="3211"/>
          </w:tcPr>
          <w:p>
            <w:r>
              <w:t>开发中</w:t>
            </w:r>
          </w:p>
        </w:tc>
        <w:tc>
          <w:tcPr>
            <w:tcW w:type="dxa" w:w="3211"/>
          </w:tcPr>
          <w:p>
            <w:r>
              <w:t>按 3–5 个里程碑检查演示、文档、代码、部署；可加代码/安全快检</w:t>
            </w:r>
          </w:p>
        </w:tc>
        <w:tc>
          <w:tcPr>
            <w:tcW w:type="dxa" w:w="3211"/>
          </w:tcPr>
          <w:p>
            <w:r>
              <w:t>阶段风险/付款建议</w:t>
            </w:r>
          </w:p>
        </w:tc>
      </w:tr>
      <w:tr>
        <w:tc>
          <w:tcPr>
            <w:tcW w:type="dxa" w:w="3211"/>
          </w:tcPr>
          <w:p>
            <w:r>
              <w:t>交付时</w:t>
            </w:r>
          </w:p>
        </w:tc>
        <w:tc>
          <w:tcPr>
            <w:tcW w:type="dxa" w:w="3211"/>
          </w:tcPr>
          <w:p>
            <w:r>
              <w:t>对照基线逐项验收；需要时全量代码体检；三档判决</w:t>
            </w:r>
          </w:p>
        </w:tc>
        <w:tc>
          <w:tcPr>
            <w:tcW w:type="dxa" w:w="3211"/>
          </w:tcPr>
          <w:p>
            <w:r>
              <w:t>验收判决/整改清单</w:t>
            </w:r>
          </w:p>
        </w:tc>
      </w:tr>
    </w:tbl>
    <w:p>
      <w:r>
        <w:rPr>
          <w:rFonts w:ascii="SimHei" w:hAnsi="SimHei" w:eastAsia="SimHei"/>
          <w:b/>
          <w:sz w:val="24"/>
        </w:rPr>
        <w:t>二、报价选项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c>
          <w:tcPr>
            <w:tcW w:type="dxa" w:w="3211"/>
          </w:tcPr>
          <w:p>
            <w:r>
              <w:t>方式</w:t>
            </w:r>
          </w:p>
        </w:tc>
        <w:tc>
          <w:tcPr>
            <w:tcW w:type="dxa" w:w="3211"/>
          </w:tcPr>
          <w:p>
            <w:r>
              <w:t>价格</w:t>
            </w:r>
          </w:p>
        </w:tc>
        <w:tc>
          <w:tcPr>
            <w:tcW w:type="dxa" w:w="3211"/>
          </w:tcPr>
          <w:p>
            <w:r>
              <w:t>适合</w:t>
            </w:r>
          </w:p>
        </w:tc>
      </w:tr>
      <w:tr>
        <w:tc>
          <w:tcPr>
            <w:tcW w:type="dxa" w:w="3211"/>
          </w:tcPr>
          <w:p>
            <w:r>
              <w:t>按月监理</w:t>
            </w:r>
          </w:p>
        </w:tc>
        <w:tc>
          <w:tcPr>
            <w:tcW w:type="dxa" w:w="3211"/>
          </w:tcPr>
          <w:p>
            <w:r>
              <w:t>¥3,000–8,000/月</w:t>
            </w:r>
          </w:p>
        </w:tc>
        <w:tc>
          <w:tcPr>
            <w:tcW w:type="dxa" w:w="3211"/>
          </w:tcPr>
          <w:p>
            <w:r>
              <w:t>1–3 个月开发期；每两周 1 次检查</w:t>
            </w:r>
          </w:p>
        </w:tc>
      </w:tr>
      <w:tr>
        <w:tc>
          <w:tcPr>
            <w:tcW w:type="dxa" w:w="3211"/>
          </w:tcPr>
          <w:p>
            <w:r>
              <w:t>按项目监理</w:t>
            </w:r>
          </w:p>
        </w:tc>
        <w:tc>
          <w:tcPr>
            <w:tcW w:type="dxa" w:w="3211"/>
          </w:tcPr>
          <w:p>
            <w:r>
              <w:t>¥8,000–30,000/项目</w:t>
            </w:r>
          </w:p>
        </w:tc>
        <w:tc>
          <w:tcPr>
            <w:tcW w:type="dxa" w:w="3211"/>
          </w:tcPr>
          <w:p>
            <w:r>
              <w:t>5–30 万项目；3–5 个里程碑</w:t>
            </w:r>
          </w:p>
        </w:tc>
      </w:tr>
      <w:tr>
        <w:tc>
          <w:tcPr>
            <w:tcW w:type="dxa" w:w="3211"/>
          </w:tcPr>
          <w:p>
            <w:r>
              <w:t>失控项目诊断</w:t>
            </w:r>
          </w:p>
        </w:tc>
        <w:tc>
          <w:tcPr>
            <w:tcW w:type="dxa" w:w="3211"/>
          </w:tcPr>
          <w:p>
            <w:r>
              <w:t>¥1,999 起</w:t>
            </w:r>
          </w:p>
        </w:tc>
        <w:tc>
          <w:tcPr>
            <w:tcW w:type="dxa" w:w="3211"/>
          </w:tcPr>
          <w:p>
            <w:r>
              <w:t>先判断继续修/重构/重做/接管</w:t>
            </w:r>
          </w:p>
        </w:tc>
      </w:tr>
    </w:tbl>
    <w:p>
      <w:r>
        <w:rPr>
          <w:rFonts w:ascii="SimHei" w:hAnsi="SimHei" w:eastAsia="SimHei"/>
          <w:b/>
          <w:sz w:val="24"/>
        </w:rPr>
        <w:t>三、不含范围</w:t>
      </w:r>
    </w:p>
    <w:p>
      <w:r>
        <w:t>不替代开发团队写代码/做项目管理；不承诺工期；不保证供应商配合；不含渗透测试/等保；不做无限次返工。</w:t>
      </w:r>
    </w:p>
    <w:p>
      <w:r>
        <w:rPr>
          <w:rFonts w:ascii="SimHei" w:hAnsi="SimHei" w:eastAsia="SimHei"/>
          <w:b/>
          <w:sz w:val="24"/>
        </w:rPr>
        <w:t>四、付款与确认</w:t>
      </w:r>
    </w:p>
    <w:p>
      <w:r>
        <w:t>确认范围后支付首款；按里程碑/月支付；具体以服务协议为准。</w:t>
      </w:r>
    </w:p>
    <w:p>
      <w:r>
        <w:t>客户确认：____________________    日期：____________</w:t>
      </w:r>
    </w:p>
    <w:p>
      <w:r>
        <w:t>HongHub 确认：________________    日期：____________</w:t>
      </w:r>
    </w:p>
    <w:p>
      <w:r>
        <w:t>说明：本报价单为参考模板，正式合作以双方确认的服务协议为准。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